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2FB7C2F" w14:textId="462BE81B" w:rsidR="00D4577B" w:rsidRDefault="00516589" w:rsidP="000C31B8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</w:t>
      </w:r>
      <w:r w:rsidR="00D4577B" w:rsidRPr="00D4577B">
        <w:rPr>
          <w:rFonts w:ascii="Times New Roman" w:hAnsi="Times New Roman"/>
          <w:color w:val="000000" w:themeColor="text1"/>
          <w:sz w:val="24"/>
        </w:rPr>
        <w:t>describe the process for conducting of internal audits to assess the effective implementation of cosmetic Good Manufacturing Practices and where necessary propose and implement corrective actions.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12A60394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r w:rsidR="00FD6ABD">
        <w:rPr>
          <w:rFonts w:ascii="Times New Roman" w:hAnsi="Times New Roman"/>
          <w:color w:val="000000" w:themeColor="text1"/>
          <w:sz w:val="24"/>
        </w:rPr>
        <w:t xml:space="preserve">the </w:t>
      </w:r>
      <w:r w:rsidR="00D4577B" w:rsidRPr="00D4577B">
        <w:rPr>
          <w:rFonts w:ascii="Times New Roman" w:hAnsi="Times New Roman"/>
          <w:color w:val="000000" w:themeColor="text1"/>
          <w:sz w:val="24"/>
        </w:rPr>
        <w:t xml:space="preserve">applies to the </w:t>
      </w:r>
      <w:r w:rsidR="00D4577B">
        <w:rPr>
          <w:rFonts w:ascii="Times New Roman" w:hAnsi="Times New Roman"/>
          <w:color w:val="000000" w:themeColor="text1"/>
          <w:sz w:val="24"/>
        </w:rPr>
        <w:t xml:space="preserve">conducting </w:t>
      </w:r>
      <w:r w:rsidR="00D4577B" w:rsidRPr="00D4577B">
        <w:rPr>
          <w:rFonts w:ascii="Times New Roman" w:hAnsi="Times New Roman"/>
          <w:color w:val="000000" w:themeColor="text1"/>
          <w:sz w:val="24"/>
        </w:rPr>
        <w:t>of Good Manufacturing Practices internal audits.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3F19FB04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6620F0" w:rsidRPr="006620F0">
        <w:rPr>
          <w:rFonts w:ascii="Times New Roman" w:hAnsi="Times New Roman"/>
          <w:color w:val="000000" w:themeColor="text1"/>
          <w:sz w:val="24"/>
        </w:rPr>
        <w:t xml:space="preserve">Clause </w:t>
      </w:r>
      <w:r w:rsidR="00D4577B" w:rsidRPr="00D4577B">
        <w:rPr>
          <w:rFonts w:ascii="Times New Roman" w:hAnsi="Times New Roman"/>
          <w:color w:val="000000" w:themeColor="text1"/>
          <w:sz w:val="24"/>
        </w:rPr>
        <w:t>16</w:t>
      </w:r>
      <w:r w:rsidR="00D4577B">
        <w:rPr>
          <w:rFonts w:ascii="Times New Roman" w:hAnsi="Times New Roman"/>
          <w:color w:val="000000" w:themeColor="text1"/>
          <w:sz w:val="24"/>
        </w:rPr>
        <w:t>:</w:t>
      </w:r>
      <w:r w:rsidR="00D4577B" w:rsidRPr="00D4577B">
        <w:rPr>
          <w:rFonts w:ascii="Times New Roman" w:hAnsi="Times New Roman"/>
          <w:color w:val="000000" w:themeColor="text1"/>
          <w:sz w:val="24"/>
        </w:rPr>
        <w:t xml:space="preserve"> Internal audit</w:t>
      </w:r>
      <w:r w:rsidR="00D4577B">
        <w:rPr>
          <w:rFonts w:ascii="Times New Roman" w:hAnsi="Times New Roman"/>
          <w:color w:val="000000" w:themeColor="text1"/>
          <w:sz w:val="24"/>
        </w:rPr>
        <w:t>.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30896AD3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1D4FF19B" w:rsidR="00B22FDE" w:rsidRPr="00404D2A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8879F6" w:rsidRPr="008879F6">
        <w:rPr>
          <w:rFonts w:ascii="Times New Roman" w:hAnsi="Times New Roman"/>
          <w:color w:val="000000" w:themeColor="text1"/>
          <w:sz w:val="24"/>
        </w:rPr>
        <w:t>Good Manufacturing Practices internal audits</w:t>
      </w:r>
      <w:r w:rsidR="008879F6">
        <w:rPr>
          <w:rFonts w:ascii="Times New Roman" w:hAnsi="Times New Roman"/>
          <w:color w:val="000000" w:themeColor="text1"/>
          <w:sz w:val="24"/>
        </w:rPr>
        <w:t xml:space="preserve"> are periodically conducted.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0A1557DE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6FD88962" w14:textId="350119AE" w:rsidR="002B6AC0" w:rsidRDefault="002B6AC0" w:rsidP="00461087">
      <w:pPr>
        <w:rPr>
          <w:rFonts w:ascii="Times New Roman" w:hAnsi="Times New Roman"/>
          <w:color w:val="000000" w:themeColor="text1"/>
          <w:sz w:val="24"/>
        </w:rPr>
      </w:pPr>
    </w:p>
    <w:p w14:paraId="064303A1" w14:textId="77777777" w:rsidR="001B78BA" w:rsidRDefault="001B78BA" w:rsidP="00461087">
      <w:pPr>
        <w:rPr>
          <w:rFonts w:ascii="Times New Roman" w:hAnsi="Times New Roman"/>
          <w:color w:val="000000" w:themeColor="text1"/>
          <w:sz w:val="24"/>
        </w:rPr>
      </w:pPr>
    </w:p>
    <w:p w14:paraId="709CEB36" w14:textId="50BF6F88" w:rsidR="002B6AC0" w:rsidRDefault="002B6AC0" w:rsidP="00461087">
      <w:pPr>
        <w:rPr>
          <w:rFonts w:ascii="Times New Roman" w:hAnsi="Times New Roman"/>
          <w:color w:val="000000" w:themeColor="text1"/>
          <w:sz w:val="24"/>
        </w:rPr>
      </w:pPr>
    </w:p>
    <w:p w14:paraId="5B26A612" w14:textId="77777777" w:rsidR="002B6AC0" w:rsidRPr="00404D2A" w:rsidRDefault="002B6AC0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4FDF6DB8" w14:textId="215B6667" w:rsidR="002B6AC0" w:rsidRPr="00AF2B6B" w:rsidRDefault="002B6AC0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6" w:name="_Toc34107907"/>
    </w:p>
    <w:p w14:paraId="56C39651" w14:textId="3C11C08F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  <w:bookmarkStart w:id="7" w:name="_Toc34107901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6.1</w:t>
      </w:r>
      <w:r w:rsidR="00B040B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 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Audit </w:t>
      </w:r>
      <w:r w:rsidR="00B040B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t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eam</w:t>
      </w:r>
      <w:bookmarkEnd w:id="7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 </w:t>
      </w:r>
    </w:p>
    <w:p w14:paraId="286A7DE4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186C4CDA" w14:textId="16AADA2E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 xml:space="preserve">Internal audits are carried out by personnel independent of the activity being audited.  Internal Auditors need to be trained before being assigned for internal audits. </w:t>
      </w:r>
    </w:p>
    <w:p w14:paraId="0DCD0371" w14:textId="77777777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</w:p>
    <w:p w14:paraId="4FDAEA4B" w14:textId="2AAB9954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bCs/>
          <w:color w:val="243F60" w:themeColor="accent1" w:themeShade="7F"/>
          <w:sz w:val="24"/>
        </w:rPr>
      </w:pPr>
      <w:bookmarkStart w:id="8" w:name="_Toc34107902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6.1</w:t>
      </w:r>
      <w:r w:rsidR="00D91C6C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 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Planning of </w:t>
      </w:r>
      <w:r w:rsidR="00B040B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internal a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udits</w:t>
      </w:r>
      <w:bookmarkEnd w:id="8"/>
    </w:p>
    <w:p w14:paraId="1C5B151E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15E34E49" w14:textId="46CD870E" w:rsidR="001B78BA" w:rsidRPr="00AF2B6B" w:rsidRDefault="001B78BA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Wh</w:t>
      </w:r>
      <w:r w:rsidR="005E6BD5" w:rsidRPr="00AF2B6B">
        <w:rPr>
          <w:rFonts w:ascii="Times New Roman" w:hAnsi="Times New Roman"/>
          <w:sz w:val="24"/>
        </w:rPr>
        <w:t>en</w:t>
      </w:r>
      <w:r w:rsidRPr="00AF2B6B">
        <w:rPr>
          <w:rFonts w:ascii="Times New Roman" w:hAnsi="Times New Roman"/>
          <w:sz w:val="24"/>
        </w:rPr>
        <w:t xml:space="preserve"> planning the internal audits, consideration is given to the status and importance of the processes and areas to be audited, </w:t>
      </w:r>
      <w:r w:rsidRPr="00AF2B6B">
        <w:rPr>
          <w:rFonts w:ascii="Times New Roman" w:hAnsi="Times New Roman"/>
          <w:snapToGrid w:val="0"/>
          <w:sz w:val="24"/>
        </w:rPr>
        <w:t>changes affecting the organization,</w:t>
      </w:r>
      <w:r w:rsidRPr="00AF2B6B">
        <w:rPr>
          <w:rFonts w:ascii="Times New Roman" w:hAnsi="Times New Roman"/>
          <w:sz w:val="24"/>
        </w:rPr>
        <w:t xml:space="preserve"> as well as the results of the previous audits.</w:t>
      </w:r>
      <w:r w:rsidR="00B040B9" w:rsidRPr="00AF2B6B">
        <w:rPr>
          <w:rFonts w:ascii="Times New Roman" w:hAnsi="Times New Roman"/>
          <w:sz w:val="24"/>
        </w:rPr>
        <w:t xml:space="preserve">  </w:t>
      </w:r>
      <w:r w:rsidRPr="00AF2B6B">
        <w:rPr>
          <w:rFonts w:ascii="Times New Roman" w:hAnsi="Times New Roman"/>
          <w:sz w:val="24"/>
        </w:rPr>
        <w:t xml:space="preserve">Internal audits are conducted at </w:t>
      </w:r>
      <w:r w:rsidR="00F47555" w:rsidRPr="00AF2B6B">
        <w:rPr>
          <w:rFonts w:ascii="Times New Roman" w:hAnsi="Times New Roman"/>
          <w:sz w:val="24"/>
        </w:rPr>
        <w:t>twice</w:t>
      </w:r>
      <w:r w:rsidRPr="00AF2B6B">
        <w:rPr>
          <w:rFonts w:ascii="Times New Roman" w:hAnsi="Times New Roman"/>
          <w:sz w:val="24"/>
        </w:rPr>
        <w:t xml:space="preserve"> a year</w:t>
      </w:r>
      <w:r w:rsidR="00D263AA">
        <w:rPr>
          <w:rFonts w:ascii="Times New Roman" w:hAnsi="Times New Roman"/>
          <w:sz w:val="24"/>
        </w:rPr>
        <w:t xml:space="preserve"> as per (</w:t>
      </w:r>
      <w:r w:rsidR="00D263AA" w:rsidRPr="00D263AA">
        <w:rPr>
          <w:rFonts w:ascii="Times New Roman" w:hAnsi="Times New Roman"/>
          <w:sz w:val="24"/>
        </w:rPr>
        <w:t>GMP SOP015- Form 01 Annual Internal Audit Calendar</w:t>
      </w:r>
      <w:r w:rsidR="00D263AA">
        <w:rPr>
          <w:rFonts w:ascii="Times New Roman" w:hAnsi="Times New Roman"/>
          <w:sz w:val="24"/>
        </w:rPr>
        <w:t>).</w:t>
      </w:r>
    </w:p>
    <w:p w14:paraId="4C3F0D1A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498BE655" w14:textId="041BAEDA" w:rsidR="00DF05DE" w:rsidRPr="00AF2B6B" w:rsidRDefault="001B78BA" w:rsidP="00DF05DE">
      <w:pPr>
        <w:rPr>
          <w:rFonts w:ascii="Times New Roman" w:hAnsi="Times New Roman"/>
          <w:snapToGrid w:val="0"/>
          <w:sz w:val="24"/>
        </w:rPr>
      </w:pPr>
      <w:r w:rsidRPr="00AF2B6B">
        <w:rPr>
          <w:rFonts w:ascii="Times New Roman" w:hAnsi="Times New Roman"/>
          <w:snapToGrid w:val="0"/>
          <w:sz w:val="24"/>
        </w:rPr>
        <w:t xml:space="preserve">The audit criteria </w:t>
      </w:r>
      <w:r w:rsidR="00DF05DE" w:rsidRPr="00AF2B6B">
        <w:rPr>
          <w:rFonts w:ascii="Times New Roman" w:hAnsi="Times New Roman"/>
          <w:snapToGrid w:val="0"/>
          <w:sz w:val="24"/>
        </w:rPr>
        <w:t xml:space="preserve">should be in line with the ISO 22716:2007 Cosmetics — Good Manufacturing Practices (GMP) — Guidelines on Good Manufacturing Practices, Food Safety Management: Requirements for a Food Safety System based on Prerequisite Programmes and Hazard Analysis and Critical Control Point (HACCP) principles. </w:t>
      </w:r>
    </w:p>
    <w:p w14:paraId="605DA406" w14:textId="77777777" w:rsidR="00DF05DE" w:rsidRPr="00AF2B6B" w:rsidRDefault="00DF05DE" w:rsidP="001B78BA">
      <w:pPr>
        <w:rPr>
          <w:rFonts w:ascii="Times New Roman" w:hAnsi="Times New Roman"/>
          <w:snapToGrid w:val="0"/>
          <w:sz w:val="24"/>
        </w:rPr>
      </w:pPr>
    </w:p>
    <w:p w14:paraId="29E67C55" w14:textId="6DB292C1" w:rsidR="001B78BA" w:rsidRPr="00AF2B6B" w:rsidRDefault="00D8001D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napToGrid w:val="0"/>
          <w:sz w:val="24"/>
        </w:rPr>
        <w:t xml:space="preserve">The </w:t>
      </w:r>
      <w:r w:rsidR="001B78BA" w:rsidRPr="00AF2B6B">
        <w:rPr>
          <w:rFonts w:ascii="Times New Roman" w:hAnsi="Times New Roman"/>
          <w:snapToGrid w:val="0"/>
          <w:sz w:val="24"/>
        </w:rPr>
        <w:t>organi</w:t>
      </w:r>
      <w:r w:rsidRPr="00AF2B6B">
        <w:rPr>
          <w:rFonts w:ascii="Times New Roman" w:hAnsi="Times New Roman"/>
          <w:snapToGrid w:val="0"/>
          <w:sz w:val="24"/>
        </w:rPr>
        <w:t>s</w:t>
      </w:r>
      <w:r w:rsidR="001B78BA" w:rsidRPr="00AF2B6B">
        <w:rPr>
          <w:rFonts w:ascii="Times New Roman" w:hAnsi="Times New Roman"/>
          <w:snapToGrid w:val="0"/>
          <w:sz w:val="24"/>
        </w:rPr>
        <w:t>ation’s own requirements</w:t>
      </w:r>
      <w:r w:rsidRPr="00AF2B6B">
        <w:rPr>
          <w:rFonts w:ascii="Times New Roman" w:hAnsi="Times New Roman"/>
          <w:snapToGrid w:val="0"/>
          <w:sz w:val="24"/>
        </w:rPr>
        <w:t xml:space="preserve"> will also form part of the audit criteria. </w:t>
      </w:r>
    </w:p>
    <w:p w14:paraId="0A3C9336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50E83949" w14:textId="7DB34465" w:rsidR="001B78BA" w:rsidRPr="00AF2B6B" w:rsidRDefault="001B78BA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A</w:t>
      </w:r>
      <w:r w:rsidR="009B51DF" w:rsidRPr="00AF2B6B">
        <w:rPr>
          <w:rFonts w:ascii="Times New Roman" w:hAnsi="Times New Roman"/>
          <w:sz w:val="24"/>
        </w:rPr>
        <w:t xml:space="preserve">n Annual Internal Audit </w:t>
      </w:r>
      <w:r w:rsidRPr="00AF2B6B">
        <w:rPr>
          <w:rFonts w:ascii="Times New Roman" w:hAnsi="Times New Roman"/>
          <w:sz w:val="24"/>
        </w:rPr>
        <w:t xml:space="preserve">Calendar </w:t>
      </w:r>
      <w:r w:rsidR="005E6BD5" w:rsidRPr="00AF2B6B">
        <w:rPr>
          <w:rFonts w:ascii="Times New Roman" w:hAnsi="Times New Roman"/>
          <w:sz w:val="24"/>
        </w:rPr>
        <w:t xml:space="preserve">should be </w:t>
      </w:r>
      <w:r w:rsidRPr="00AF2B6B">
        <w:rPr>
          <w:rFonts w:ascii="Times New Roman" w:hAnsi="Times New Roman"/>
          <w:sz w:val="24"/>
        </w:rPr>
        <w:t>maintained</w:t>
      </w:r>
      <w:r w:rsidR="005E6BD5" w:rsidRPr="00AF2B6B">
        <w:rPr>
          <w:rFonts w:ascii="Times New Roman" w:hAnsi="Times New Roman"/>
          <w:sz w:val="24"/>
        </w:rPr>
        <w:t xml:space="preserve">. </w:t>
      </w:r>
      <w:r w:rsidRPr="00AF2B6B">
        <w:rPr>
          <w:rFonts w:ascii="Times New Roman" w:hAnsi="Times New Roman"/>
          <w:sz w:val="24"/>
        </w:rPr>
        <w:t>The calendar may be re</w:t>
      </w:r>
      <w:r w:rsidR="00D91C6C" w:rsidRPr="00AF2B6B">
        <w:rPr>
          <w:rFonts w:ascii="Times New Roman" w:hAnsi="Times New Roman"/>
          <w:sz w:val="24"/>
        </w:rPr>
        <w:t xml:space="preserve">vised </w:t>
      </w:r>
      <w:r w:rsidRPr="00AF2B6B">
        <w:rPr>
          <w:rFonts w:ascii="Times New Roman" w:hAnsi="Times New Roman"/>
          <w:sz w:val="24"/>
        </w:rPr>
        <w:t xml:space="preserve">after each audit on the basis of the audit findings. </w:t>
      </w:r>
    </w:p>
    <w:p w14:paraId="77EA87F9" w14:textId="77777777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color w:val="000000" w:themeColor="text1"/>
          <w:sz w:val="24"/>
        </w:rPr>
      </w:pPr>
    </w:p>
    <w:p w14:paraId="7B6F4F38" w14:textId="6354ABDE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color w:val="000000" w:themeColor="text1"/>
          <w:sz w:val="24"/>
        </w:rPr>
      </w:pPr>
      <w:bookmarkStart w:id="9" w:name="_Toc34107903"/>
      <w:r w:rsidRPr="00AF2B6B">
        <w:rPr>
          <w:rFonts w:ascii="Times New Roman" w:eastAsiaTheme="majorEastAsia" w:hAnsi="Times New Roman"/>
          <w:b/>
          <w:color w:val="000000" w:themeColor="text1"/>
          <w:sz w:val="24"/>
        </w:rPr>
        <w:t>6.</w:t>
      </w:r>
      <w:r w:rsidR="00D91C6C" w:rsidRPr="00AF2B6B">
        <w:rPr>
          <w:rFonts w:ascii="Times New Roman" w:eastAsiaTheme="majorEastAsia" w:hAnsi="Times New Roman"/>
          <w:b/>
          <w:color w:val="000000" w:themeColor="text1"/>
          <w:sz w:val="24"/>
        </w:rPr>
        <w:t>2</w:t>
      </w:r>
      <w:r w:rsidRPr="00AF2B6B">
        <w:rPr>
          <w:rFonts w:ascii="Times New Roman" w:eastAsiaTheme="majorEastAsia" w:hAnsi="Times New Roman"/>
          <w:b/>
          <w:color w:val="000000" w:themeColor="text1"/>
          <w:sz w:val="24"/>
        </w:rPr>
        <w:t xml:space="preserve"> Audit process</w:t>
      </w:r>
      <w:bookmarkEnd w:id="9"/>
    </w:p>
    <w:p w14:paraId="783F099B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25607FAA" w14:textId="77777777" w:rsidR="001B78BA" w:rsidRPr="00AF2B6B" w:rsidRDefault="001B78BA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Audits are carried out against audit criteria other relevant standards. Non-conformance reporting is based on objective evidence.</w:t>
      </w:r>
    </w:p>
    <w:p w14:paraId="020E5615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7B091561" w14:textId="77777777" w:rsidR="001B78BA" w:rsidRPr="00AF2B6B" w:rsidRDefault="001B78BA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When an actual/potential non-conformance is observed during an audit, both auditee and auditor must agree on the following:</w:t>
      </w:r>
    </w:p>
    <w:p w14:paraId="26861B76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01D83398" w14:textId="77777777" w:rsidR="001B78BA" w:rsidRPr="00091BAC" w:rsidRDefault="001B78BA" w:rsidP="00091BA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</w:rPr>
      </w:pPr>
      <w:r w:rsidRPr="00091BAC">
        <w:rPr>
          <w:rFonts w:ascii="Times New Roman" w:hAnsi="Times New Roman"/>
          <w:sz w:val="24"/>
        </w:rPr>
        <w:t>Objective evidence</w:t>
      </w:r>
    </w:p>
    <w:p w14:paraId="5E400AC2" w14:textId="77777777" w:rsidR="001B78BA" w:rsidRPr="00091BAC" w:rsidRDefault="001B78BA" w:rsidP="00091BA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</w:rPr>
      </w:pPr>
      <w:r w:rsidRPr="00091BAC">
        <w:rPr>
          <w:rFonts w:ascii="Times New Roman" w:hAnsi="Times New Roman"/>
          <w:sz w:val="24"/>
        </w:rPr>
        <w:t>Nature of observed deviation (Major/Minor)</w:t>
      </w:r>
    </w:p>
    <w:p w14:paraId="59E9ABB0" w14:textId="77777777" w:rsidR="001B78BA" w:rsidRPr="00091BAC" w:rsidRDefault="001B78BA" w:rsidP="00091BA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</w:rPr>
      </w:pPr>
      <w:r w:rsidRPr="00091BAC">
        <w:rPr>
          <w:rFonts w:ascii="Times New Roman" w:hAnsi="Times New Roman"/>
          <w:sz w:val="24"/>
        </w:rPr>
        <w:t>Corrective / preventive actions and due date, and</w:t>
      </w:r>
    </w:p>
    <w:p w14:paraId="746C6F67" w14:textId="5C25F90B" w:rsidR="001B78BA" w:rsidRPr="00091BAC" w:rsidRDefault="001B78BA" w:rsidP="00091BA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</w:rPr>
      </w:pPr>
      <w:r w:rsidRPr="00091BAC">
        <w:rPr>
          <w:rFonts w:ascii="Times New Roman" w:hAnsi="Times New Roman"/>
          <w:sz w:val="24"/>
        </w:rPr>
        <w:t>Need for follow-up audits or verification and the due date.</w:t>
      </w:r>
    </w:p>
    <w:p w14:paraId="37CFF476" w14:textId="3FE22810" w:rsidR="00C51282" w:rsidRDefault="00C51282" w:rsidP="00C51282">
      <w:pPr>
        <w:rPr>
          <w:rFonts w:ascii="Times New Roman" w:hAnsi="Times New Roman"/>
          <w:sz w:val="24"/>
        </w:rPr>
      </w:pPr>
    </w:p>
    <w:p w14:paraId="72FB1719" w14:textId="6CF4DDD9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  <w:bookmarkStart w:id="10" w:name="_Toc34107904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lastRenderedPageBreak/>
        <w:t>6.</w:t>
      </w:r>
      <w:r w:rsidR="00D91C6C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3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 Recording the Results of </w:t>
      </w:r>
      <w:r w:rsidR="003203D0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quality a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udits</w:t>
      </w:r>
      <w:bookmarkEnd w:id="10"/>
    </w:p>
    <w:p w14:paraId="25B20CCD" w14:textId="77777777" w:rsidR="001B78BA" w:rsidRPr="00AF2B6B" w:rsidRDefault="001B78BA" w:rsidP="001B78BA">
      <w:pPr>
        <w:rPr>
          <w:rFonts w:ascii="Times New Roman" w:hAnsi="Times New Roman"/>
          <w:sz w:val="24"/>
        </w:rPr>
      </w:pPr>
    </w:p>
    <w:p w14:paraId="3AA1CB8C" w14:textId="37575EF5" w:rsidR="001B78BA" w:rsidRPr="00AF2B6B" w:rsidRDefault="001B78BA" w:rsidP="001B78BA">
      <w:pPr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Auditors record the observed non-conformities, deficiencies, and improvement opportunities in the area / department being audited</w:t>
      </w:r>
      <w:r w:rsidR="00EE25AF" w:rsidRPr="00AF2B6B">
        <w:rPr>
          <w:rFonts w:ascii="Times New Roman" w:hAnsi="Times New Roman"/>
          <w:sz w:val="24"/>
        </w:rPr>
        <w:t xml:space="preserve"> on the </w:t>
      </w:r>
      <w:r w:rsidR="00526F45" w:rsidRPr="00AF2B6B">
        <w:rPr>
          <w:rFonts w:ascii="Times New Roman" w:hAnsi="Times New Roman"/>
          <w:sz w:val="24"/>
        </w:rPr>
        <w:t>GMP SOP015- Form 0</w:t>
      </w:r>
      <w:r w:rsidR="00D263AA">
        <w:rPr>
          <w:rFonts w:ascii="Times New Roman" w:hAnsi="Times New Roman"/>
          <w:sz w:val="24"/>
        </w:rPr>
        <w:t>2</w:t>
      </w:r>
      <w:r w:rsidR="00526F45" w:rsidRPr="00AF2B6B">
        <w:rPr>
          <w:rFonts w:ascii="Times New Roman" w:hAnsi="Times New Roman"/>
          <w:sz w:val="24"/>
        </w:rPr>
        <w:t xml:space="preserve"> Internal Audit Findings Notification.</w:t>
      </w:r>
      <w:r w:rsidR="00C51282">
        <w:rPr>
          <w:rFonts w:ascii="Times New Roman" w:hAnsi="Times New Roman"/>
          <w:sz w:val="24"/>
        </w:rPr>
        <w:t xml:space="preserve"> A formal audit report is compiled </w:t>
      </w:r>
      <w:r w:rsidR="001B6F09">
        <w:rPr>
          <w:rFonts w:ascii="Times New Roman" w:hAnsi="Times New Roman"/>
          <w:sz w:val="24"/>
        </w:rPr>
        <w:t xml:space="preserve">within 5 working days after completion of the internal audit. </w:t>
      </w:r>
    </w:p>
    <w:p w14:paraId="6C0A80BD" w14:textId="77777777" w:rsidR="001B78BA" w:rsidRPr="00AF2B6B" w:rsidRDefault="001B78BA" w:rsidP="001B78BA">
      <w:pPr>
        <w:rPr>
          <w:rFonts w:ascii="Times New Roman" w:hAnsi="Times New Roman"/>
          <w:b/>
          <w:sz w:val="24"/>
        </w:rPr>
      </w:pPr>
    </w:p>
    <w:p w14:paraId="69F9CC6B" w14:textId="024F905F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  <w:bookmarkStart w:id="11" w:name="_Toc34107905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6.</w:t>
      </w:r>
      <w:r w:rsidR="00526F45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4 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Follow up audits</w:t>
      </w:r>
      <w:bookmarkEnd w:id="11"/>
    </w:p>
    <w:p w14:paraId="2F240528" w14:textId="77777777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</w:p>
    <w:p w14:paraId="13E692AC" w14:textId="370BB7D9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 xml:space="preserve">When a non-conformance detected during audits is not addressed during the audit, follow up audits shall be conducted. </w:t>
      </w:r>
      <w:r w:rsidR="00103B99" w:rsidRPr="00AF2B6B">
        <w:rPr>
          <w:rFonts w:ascii="Times New Roman" w:hAnsi="Times New Roman"/>
          <w:sz w:val="24"/>
        </w:rPr>
        <w:t xml:space="preserve">Responsible personnel shall be assigned to </w:t>
      </w:r>
      <w:r w:rsidRPr="00AF2B6B">
        <w:rPr>
          <w:rFonts w:ascii="Times New Roman" w:hAnsi="Times New Roman"/>
          <w:sz w:val="24"/>
        </w:rPr>
        <w:t>keep track of open audit findings and ensure that these are closed within the agreed time frame.</w:t>
      </w:r>
    </w:p>
    <w:p w14:paraId="0F957A5F" w14:textId="77777777" w:rsidR="001B78BA" w:rsidRPr="00AF2B6B" w:rsidRDefault="001B78BA" w:rsidP="001B78BA">
      <w:pPr>
        <w:jc w:val="both"/>
        <w:rPr>
          <w:rFonts w:ascii="Times New Roman" w:hAnsi="Times New Roman"/>
          <w:b/>
          <w:sz w:val="24"/>
        </w:rPr>
      </w:pPr>
    </w:p>
    <w:p w14:paraId="74845697" w14:textId="6D242003" w:rsidR="001B78BA" w:rsidRPr="00AF2B6B" w:rsidRDefault="001B78BA" w:rsidP="001B78BA">
      <w:pPr>
        <w:keepNext/>
        <w:keepLines/>
        <w:spacing w:before="40"/>
        <w:outlineLvl w:val="2"/>
        <w:rPr>
          <w:rFonts w:ascii="Times New Roman" w:eastAsiaTheme="majorEastAsia" w:hAnsi="Times New Roman"/>
          <w:b/>
          <w:bCs/>
          <w:color w:val="000000" w:themeColor="text1"/>
          <w:sz w:val="24"/>
        </w:rPr>
      </w:pPr>
      <w:bookmarkStart w:id="12" w:name="_Toc34107906"/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6.</w:t>
      </w:r>
      <w:r w:rsidR="00103B9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5 </w:t>
      </w:r>
      <w:r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Closing of </w:t>
      </w:r>
      <w:r w:rsidR="00103B9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>auditing findings</w:t>
      </w:r>
      <w:bookmarkEnd w:id="12"/>
      <w:r w:rsidR="00103B99" w:rsidRPr="00AF2B6B">
        <w:rPr>
          <w:rFonts w:ascii="Times New Roman" w:eastAsiaTheme="majorEastAsia" w:hAnsi="Times New Roman"/>
          <w:b/>
          <w:bCs/>
          <w:color w:val="000000" w:themeColor="text1"/>
          <w:sz w:val="24"/>
        </w:rPr>
        <w:t xml:space="preserve"> </w:t>
      </w:r>
    </w:p>
    <w:p w14:paraId="13FAD505" w14:textId="77777777" w:rsidR="001B78BA" w:rsidRPr="00AF2B6B" w:rsidRDefault="001B78BA" w:rsidP="001B78BA">
      <w:pPr>
        <w:jc w:val="both"/>
        <w:rPr>
          <w:rFonts w:ascii="Times New Roman" w:hAnsi="Times New Roman"/>
          <w:b/>
          <w:sz w:val="24"/>
        </w:rPr>
      </w:pPr>
    </w:p>
    <w:p w14:paraId="18CAE587" w14:textId="77777777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 xml:space="preserve">Once the corrective actions are completed and if further follow-up audit is not required, the audit findings can closed. </w:t>
      </w:r>
    </w:p>
    <w:p w14:paraId="3AD4352C" w14:textId="77777777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</w:p>
    <w:p w14:paraId="7A08BD9C" w14:textId="77777777" w:rsidR="001B78BA" w:rsidRPr="00AF2B6B" w:rsidRDefault="001B78BA" w:rsidP="001B78BA">
      <w:pPr>
        <w:jc w:val="both"/>
        <w:rPr>
          <w:rFonts w:ascii="Times New Roman" w:hAnsi="Times New Roman"/>
          <w:sz w:val="24"/>
        </w:rPr>
      </w:pPr>
      <w:r w:rsidRPr="00AF2B6B">
        <w:rPr>
          <w:rFonts w:ascii="Times New Roman" w:hAnsi="Times New Roman"/>
          <w:sz w:val="24"/>
        </w:rPr>
        <w:t>The internal audit summary in the is also discussed in the subsequent management review meetings.</w:t>
      </w:r>
    </w:p>
    <w:p w14:paraId="3C5F07B4" w14:textId="77777777" w:rsidR="001B78BA" w:rsidRPr="00AF2B6B" w:rsidRDefault="001B78BA" w:rsidP="001B78BA">
      <w:pPr>
        <w:rPr>
          <w:rFonts w:ascii="Times New Roman" w:hAnsi="Times New Roman"/>
          <w:b/>
          <w:sz w:val="24"/>
        </w:rPr>
      </w:pPr>
    </w:p>
    <w:p w14:paraId="15F36960" w14:textId="361E4A30" w:rsidR="002B6AC0" w:rsidRDefault="002B6AC0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310E3C3" w14:textId="71701AD4" w:rsidR="002B6AC0" w:rsidRDefault="002B6AC0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4C2309F" w14:textId="58D03C78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7ACB969" w14:textId="4851C79D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4639D0B" w14:textId="7C8C5BA6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FA4F966" w14:textId="67008EE6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B770D63" w14:textId="41493DCC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1D482BE" w14:textId="77777777" w:rsidR="00AF2B6B" w:rsidRDefault="00AF2B6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356BC82" w14:textId="12F87BB0" w:rsidR="002B6AC0" w:rsidRDefault="002B6AC0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1ADDBAA" w14:textId="65D0E298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991D942" w14:textId="0B486C02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4643096" w14:textId="42A8DC9C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32418B9" w14:textId="7AD5590E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5C664D8" w14:textId="0717AEEE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29E88A0" w14:textId="06EC2364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C166ED3" w14:textId="73A650AB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E719CEB" w14:textId="779DB351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7F5235B" w14:textId="125A60DC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04282B5" w14:textId="029D28BB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23052A4" w14:textId="77777777" w:rsidR="001B78BA" w:rsidRDefault="001B78BA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027"/>
        <w:gridCol w:w="1440"/>
        <w:gridCol w:w="1283"/>
        <w:gridCol w:w="1260"/>
        <w:gridCol w:w="1507"/>
      </w:tblGrid>
      <w:tr w:rsidR="00CB6D37" w:rsidRPr="001B78BA" w14:paraId="7DB46EA6" w14:textId="77777777" w:rsidTr="00A807E5">
        <w:tc>
          <w:tcPr>
            <w:tcW w:w="540" w:type="dxa"/>
          </w:tcPr>
          <w:p w14:paraId="05682B1C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027" w:type="dxa"/>
          </w:tcPr>
          <w:p w14:paraId="2C51572E" w14:textId="77777777" w:rsidR="00461087" w:rsidRPr="001B78B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1B78B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440" w:type="dxa"/>
          </w:tcPr>
          <w:p w14:paraId="1D6FD7E0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283" w:type="dxa"/>
          </w:tcPr>
          <w:p w14:paraId="7575E820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1B78B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1B78B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A807E5" w:rsidRPr="001B78BA" w14:paraId="5992D986" w14:textId="77777777" w:rsidTr="00A807E5">
        <w:trPr>
          <w:trHeight w:val="139"/>
        </w:trPr>
        <w:tc>
          <w:tcPr>
            <w:tcW w:w="540" w:type="dxa"/>
          </w:tcPr>
          <w:p w14:paraId="302E1A49" w14:textId="1E61486C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027" w:type="dxa"/>
          </w:tcPr>
          <w:p w14:paraId="39A19AD3" w14:textId="1D8419E0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B78BA">
              <w:rPr>
                <w:rFonts w:ascii="Times New Roman" w:hAnsi="Times New Roman"/>
                <w:sz w:val="24"/>
              </w:rPr>
              <w:t xml:space="preserve">Annual Internal Audit Calendar </w:t>
            </w:r>
            <w:r w:rsidR="00D263AA">
              <w:rPr>
                <w:rFonts w:ascii="Times New Roman" w:hAnsi="Times New Roman"/>
                <w:sz w:val="24"/>
              </w:rPr>
              <w:t>(</w:t>
            </w:r>
            <w:r w:rsidR="00D263AA" w:rsidRPr="00D263AA">
              <w:rPr>
                <w:rFonts w:ascii="Times New Roman" w:hAnsi="Times New Roman"/>
                <w:sz w:val="24"/>
              </w:rPr>
              <w:t>SOP015- Form 01 Annual Internal Audit Calendar</w:t>
            </w:r>
            <w:r w:rsidR="00D263A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0" w:type="dxa"/>
          </w:tcPr>
          <w:p w14:paraId="0871B809" w14:textId="5698B619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83" w:type="dxa"/>
          </w:tcPr>
          <w:p w14:paraId="0DADE9FE" w14:textId="70B8431D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3F67C01" w14:textId="67F3AA6A" w:rsidR="00A807E5" w:rsidRPr="001B78BA" w:rsidRDefault="00A807E5" w:rsidP="00A807E5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507" w:type="dxa"/>
          </w:tcPr>
          <w:p w14:paraId="02001E30" w14:textId="48EC4B25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Quality Control (QC) Manager</w:t>
            </w:r>
          </w:p>
        </w:tc>
      </w:tr>
      <w:tr w:rsidR="00D263AA" w:rsidRPr="001B78BA" w14:paraId="47911A2D" w14:textId="77777777" w:rsidTr="00A807E5">
        <w:trPr>
          <w:trHeight w:val="139"/>
        </w:trPr>
        <w:tc>
          <w:tcPr>
            <w:tcW w:w="540" w:type="dxa"/>
          </w:tcPr>
          <w:p w14:paraId="041BC7C5" w14:textId="32B56BB3" w:rsidR="00D263AA" w:rsidRPr="001B78BA" w:rsidRDefault="00D263AA" w:rsidP="00D263A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027" w:type="dxa"/>
          </w:tcPr>
          <w:p w14:paraId="38CB798E" w14:textId="1DC20042" w:rsidR="00D263AA" w:rsidRPr="001B78BA" w:rsidRDefault="00D263AA" w:rsidP="00D263AA">
            <w:pPr>
              <w:rPr>
                <w:rFonts w:ascii="Times New Roman" w:hAnsi="Times New Roman"/>
                <w:sz w:val="24"/>
              </w:rPr>
            </w:pPr>
            <w:r w:rsidRPr="00C51282">
              <w:rPr>
                <w:rFonts w:ascii="Times New Roman" w:hAnsi="Times New Roman"/>
                <w:sz w:val="24"/>
              </w:rPr>
              <w:t>Internal Audit Findings Notification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C51282">
              <w:rPr>
                <w:rFonts w:ascii="Times New Roman" w:hAnsi="Times New Roman"/>
                <w:sz w:val="24"/>
              </w:rPr>
              <w:t xml:space="preserve">GMP SOP015- Form </w:t>
            </w: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1440" w:type="dxa"/>
          </w:tcPr>
          <w:p w14:paraId="7102FDC5" w14:textId="36909F8C" w:rsidR="00D263AA" w:rsidRPr="00404D2A" w:rsidRDefault="00D263AA" w:rsidP="00D263A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83" w:type="dxa"/>
          </w:tcPr>
          <w:p w14:paraId="1ACE6FD2" w14:textId="654580D8" w:rsidR="00D263AA" w:rsidRPr="00404D2A" w:rsidRDefault="00D263AA" w:rsidP="00D263A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7CA48B80" w14:textId="366CC725" w:rsidR="00D263AA" w:rsidRDefault="00D263AA" w:rsidP="00D263AA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507" w:type="dxa"/>
          </w:tcPr>
          <w:p w14:paraId="4F88A0E4" w14:textId="0620A6C5" w:rsidR="00D263AA" w:rsidRDefault="00D263AA" w:rsidP="00D263A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QC Manager</w:t>
            </w:r>
          </w:p>
        </w:tc>
      </w:tr>
      <w:tr w:rsidR="00A807E5" w:rsidRPr="001B78BA" w14:paraId="5AAAFD0D" w14:textId="77777777" w:rsidTr="00A807E5">
        <w:trPr>
          <w:trHeight w:val="139"/>
        </w:trPr>
        <w:tc>
          <w:tcPr>
            <w:tcW w:w="540" w:type="dxa"/>
          </w:tcPr>
          <w:p w14:paraId="7D74CBCE" w14:textId="3C10B5F9" w:rsidR="00A807E5" w:rsidRPr="001B78BA" w:rsidRDefault="00D263AA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027" w:type="dxa"/>
          </w:tcPr>
          <w:p w14:paraId="04BB9787" w14:textId="62BBA77B" w:rsidR="00A807E5" w:rsidRPr="001B78BA" w:rsidRDefault="00A807E5" w:rsidP="00A807E5">
            <w:pPr>
              <w:rPr>
                <w:rFonts w:ascii="Times New Roman" w:hAnsi="Times New Roman"/>
                <w:sz w:val="24"/>
              </w:rPr>
            </w:pPr>
            <w:r w:rsidRPr="005D2B3A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udit</w:t>
            </w:r>
            <w:r w:rsidRPr="005D2B3A">
              <w:rPr>
                <w:rFonts w:ascii="Times New Roman" w:hAnsi="Times New Roman"/>
                <w:sz w:val="24"/>
              </w:rPr>
              <w:t xml:space="preserve"> Report</w:t>
            </w:r>
          </w:p>
        </w:tc>
        <w:tc>
          <w:tcPr>
            <w:tcW w:w="1440" w:type="dxa"/>
          </w:tcPr>
          <w:p w14:paraId="2BB0B9A3" w14:textId="09D813E6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83" w:type="dxa"/>
          </w:tcPr>
          <w:p w14:paraId="35CE6068" w14:textId="6A1DE49E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4955467B" w14:textId="17D876BD" w:rsidR="00A807E5" w:rsidRPr="001B78BA" w:rsidRDefault="00A807E5" w:rsidP="00A807E5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677DA836" w14:textId="58C8F519" w:rsidR="00A807E5" w:rsidRPr="001B78BA" w:rsidRDefault="00A807E5" w:rsidP="00A807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QC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Manager</w:t>
            </w:r>
          </w:p>
        </w:tc>
      </w:tr>
    </w:tbl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779DD175" w14:textId="77777777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7C797481" w14:textId="77777777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5A777492" w14:textId="72DF4D12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7B9CA72B" w14:textId="43C611BC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20A32F8B" w14:textId="2F639D98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1BA1AF9B" w14:textId="24DA898E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6EDBC18F" w14:textId="7F9D74E5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569A6F66" w14:textId="7DB07FC8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772312CA" w14:textId="1794C865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41D88BA8" w14:textId="2B727204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608CCFF4" w14:textId="1512AEF1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08CE0B3A" w14:textId="639161F9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5B68663F" w14:textId="4F276217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34EAF914" w14:textId="35623D3F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14D47095" w14:textId="34EFBDAD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6C4C5C81" w14:textId="4885A5B7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4A334A33" w14:textId="2CB275DF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5560C2B4" w14:textId="7C1A534C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18FA77A2" w14:textId="5BCC406A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45D0160C" w14:textId="5AEAA7A5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772E443F" w14:textId="77777777" w:rsidR="001B78BA" w:rsidRPr="009B51DF" w:rsidRDefault="001B78B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33BFDAAF" w14:textId="77777777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623536A7" w14:textId="77777777" w:rsidR="00461087" w:rsidRPr="009B51DF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  <w:lang w:val="fr-FR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13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5ABC4E6B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BC1C63">
              <w:rPr>
                <w:rFonts w:ascii="Times New Roman" w:hAnsi="Times New Roman"/>
                <w:b/>
                <w:color w:val="000000" w:themeColor="text1"/>
                <w:sz w:val="24"/>
              </w:rPr>
              <w:t>R</w:t>
            </w:r>
            <w:r w:rsidR="001B78BA">
              <w:rPr>
                <w:rFonts w:ascii="Times New Roman" w:hAnsi="Times New Roman"/>
                <w:b/>
                <w:color w:val="000000" w:themeColor="text1"/>
                <w:sz w:val="24"/>
              </w:rPr>
              <w:t>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BC1C63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FCD4C6B" w:rsidR="00461087" w:rsidRPr="00404D2A" w:rsidRDefault="001B78B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4DE5" w14:textId="77777777" w:rsidR="004F189E" w:rsidRDefault="004F189E">
      <w:r>
        <w:separator/>
      </w:r>
    </w:p>
  </w:endnote>
  <w:endnote w:type="continuationSeparator" w:id="0">
    <w:p w14:paraId="0178E3A6" w14:textId="77777777" w:rsidR="004F189E" w:rsidRDefault="004F189E">
      <w:r>
        <w:continuationSeparator/>
      </w:r>
    </w:p>
  </w:endnote>
  <w:endnote w:type="continuationNotice" w:id="1">
    <w:p w14:paraId="4EC2DC3C" w14:textId="77777777" w:rsidR="004F189E" w:rsidRDefault="004F1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515D" w14:textId="77777777" w:rsidR="004F189E" w:rsidRDefault="004F189E">
      <w:r>
        <w:separator/>
      </w:r>
    </w:p>
  </w:footnote>
  <w:footnote w:type="continuationSeparator" w:id="0">
    <w:p w14:paraId="56C59437" w14:textId="77777777" w:rsidR="004F189E" w:rsidRDefault="004F189E">
      <w:r>
        <w:continuationSeparator/>
      </w:r>
    </w:p>
  </w:footnote>
  <w:footnote w:type="continuationNotice" w:id="1">
    <w:p w14:paraId="7FEC8A37" w14:textId="77777777" w:rsidR="004F189E" w:rsidRDefault="004F1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D4577B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D4577B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272E21BC" w:rsidR="00CD0B64" w:rsidRPr="005514C5" w:rsidRDefault="00091BAC" w:rsidP="00D4577B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Managing of </w:t>
          </w:r>
          <w:r w:rsidR="00D4577B" w:rsidRPr="00D4577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Internal </w:t>
          </w:r>
          <w:r w:rsidR="00D4577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A</w:t>
          </w:r>
          <w:r w:rsidR="00D4577B" w:rsidRPr="00D4577B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udit</w:t>
          </w:r>
          <w:r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4211D05E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091BAC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4E81F7C2" w:rsidR="00CD0B64" w:rsidRPr="005514C5" w:rsidRDefault="007C76F9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7C76F9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D4577B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Revision Date :</w:t>
          </w:r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17F38E51" w:rsidR="00CD0B64" w:rsidRPr="005514C5" w:rsidRDefault="00D874CD" w:rsidP="00D4577B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</w:t>
          </w:r>
          <w:r w:rsidR="00D4577B">
            <w:rPr>
              <w:rFonts w:ascii="Times New Roman" w:hAnsi="Times New Roman"/>
              <w:b/>
              <w:color w:val="000000" w:themeColor="text1"/>
              <w:sz w:val="24"/>
            </w:rPr>
            <w:t>15</w:t>
          </w: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-</w:t>
          </w:r>
          <w:r w:rsidR="00D4577B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  <w:r w:rsidR="00D4577B" w:rsidRPr="00D4577B">
            <w:rPr>
              <w:rFonts w:ascii="Times New Roman" w:hAnsi="Times New Roman"/>
              <w:b/>
              <w:color w:val="000000" w:themeColor="text1"/>
              <w:sz w:val="24"/>
            </w:rPr>
            <w:t xml:space="preserve">Internal audit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5218AE"/>
    <w:multiLevelType w:val="hybridMultilevel"/>
    <w:tmpl w:val="EAAA07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6"/>
  </w:num>
  <w:num w:numId="11">
    <w:abstractNumId w:val="4"/>
  </w:num>
  <w:num w:numId="12">
    <w:abstractNumId w:val="24"/>
  </w:num>
  <w:num w:numId="13">
    <w:abstractNumId w:val="19"/>
  </w:num>
  <w:num w:numId="14">
    <w:abstractNumId w:val="0"/>
  </w:num>
  <w:num w:numId="15">
    <w:abstractNumId w:val="9"/>
  </w:num>
  <w:num w:numId="16">
    <w:abstractNumId w:val="27"/>
  </w:num>
  <w:num w:numId="17">
    <w:abstractNumId w:val="21"/>
  </w:num>
  <w:num w:numId="18">
    <w:abstractNumId w:val="23"/>
  </w:num>
  <w:num w:numId="19">
    <w:abstractNumId w:val="30"/>
  </w:num>
  <w:num w:numId="20">
    <w:abstractNumId w:val="26"/>
  </w:num>
  <w:num w:numId="21">
    <w:abstractNumId w:val="10"/>
  </w:num>
  <w:num w:numId="22">
    <w:abstractNumId w:val="22"/>
  </w:num>
  <w:num w:numId="23">
    <w:abstractNumId w:val="7"/>
  </w:num>
  <w:num w:numId="24">
    <w:abstractNumId w:val="17"/>
  </w:num>
  <w:num w:numId="25">
    <w:abstractNumId w:val="29"/>
  </w:num>
  <w:num w:numId="26">
    <w:abstractNumId w:val="31"/>
  </w:num>
  <w:num w:numId="27">
    <w:abstractNumId w:val="20"/>
  </w:num>
  <w:num w:numId="28">
    <w:abstractNumId w:val="3"/>
  </w:num>
  <w:num w:numId="29">
    <w:abstractNumId w:val="16"/>
  </w:num>
  <w:num w:numId="30">
    <w:abstractNumId w:val="12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1BAC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3B99"/>
    <w:rsid w:val="0010574A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50A0"/>
    <w:rsid w:val="001B6F09"/>
    <w:rsid w:val="001B78BA"/>
    <w:rsid w:val="001C4456"/>
    <w:rsid w:val="001E0382"/>
    <w:rsid w:val="001F7559"/>
    <w:rsid w:val="0020364D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B6AC0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203D0"/>
    <w:rsid w:val="00331EDF"/>
    <w:rsid w:val="00340BBC"/>
    <w:rsid w:val="00343791"/>
    <w:rsid w:val="0035491F"/>
    <w:rsid w:val="00362515"/>
    <w:rsid w:val="00366310"/>
    <w:rsid w:val="0038304E"/>
    <w:rsid w:val="00383686"/>
    <w:rsid w:val="003939E9"/>
    <w:rsid w:val="00395D61"/>
    <w:rsid w:val="00396E5C"/>
    <w:rsid w:val="003A014A"/>
    <w:rsid w:val="003A141A"/>
    <w:rsid w:val="003A24C2"/>
    <w:rsid w:val="003A29EF"/>
    <w:rsid w:val="003A2D4D"/>
    <w:rsid w:val="003A2E56"/>
    <w:rsid w:val="003A73C2"/>
    <w:rsid w:val="003B096F"/>
    <w:rsid w:val="003B1586"/>
    <w:rsid w:val="003B646F"/>
    <w:rsid w:val="003C0895"/>
    <w:rsid w:val="003C0991"/>
    <w:rsid w:val="003C1A26"/>
    <w:rsid w:val="003C54EC"/>
    <w:rsid w:val="003C7F62"/>
    <w:rsid w:val="003F3663"/>
    <w:rsid w:val="00400AC3"/>
    <w:rsid w:val="00404D2A"/>
    <w:rsid w:val="00406759"/>
    <w:rsid w:val="00410585"/>
    <w:rsid w:val="00413DF7"/>
    <w:rsid w:val="00425BE4"/>
    <w:rsid w:val="004367E8"/>
    <w:rsid w:val="00461087"/>
    <w:rsid w:val="00461D0A"/>
    <w:rsid w:val="00472E0A"/>
    <w:rsid w:val="004808D8"/>
    <w:rsid w:val="00481987"/>
    <w:rsid w:val="004A3E5A"/>
    <w:rsid w:val="004C58A7"/>
    <w:rsid w:val="004C6E25"/>
    <w:rsid w:val="004E1E72"/>
    <w:rsid w:val="004E3922"/>
    <w:rsid w:val="004E6BFF"/>
    <w:rsid w:val="004F0A38"/>
    <w:rsid w:val="004F189E"/>
    <w:rsid w:val="004F40C9"/>
    <w:rsid w:val="00501876"/>
    <w:rsid w:val="00513F58"/>
    <w:rsid w:val="00516589"/>
    <w:rsid w:val="00526F45"/>
    <w:rsid w:val="00547C52"/>
    <w:rsid w:val="005514C5"/>
    <w:rsid w:val="00551ABA"/>
    <w:rsid w:val="0055732E"/>
    <w:rsid w:val="0056026C"/>
    <w:rsid w:val="00563A73"/>
    <w:rsid w:val="00566899"/>
    <w:rsid w:val="00582EA1"/>
    <w:rsid w:val="00590A31"/>
    <w:rsid w:val="00593253"/>
    <w:rsid w:val="005B38AE"/>
    <w:rsid w:val="005D2B3A"/>
    <w:rsid w:val="005E14A4"/>
    <w:rsid w:val="005E5B83"/>
    <w:rsid w:val="005E6BD5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620F0"/>
    <w:rsid w:val="00670CF4"/>
    <w:rsid w:val="0067376C"/>
    <w:rsid w:val="00674D5F"/>
    <w:rsid w:val="006767AA"/>
    <w:rsid w:val="00695168"/>
    <w:rsid w:val="006A3B57"/>
    <w:rsid w:val="006A3E66"/>
    <w:rsid w:val="006B0198"/>
    <w:rsid w:val="006B43C5"/>
    <w:rsid w:val="006B664D"/>
    <w:rsid w:val="006D3DE0"/>
    <w:rsid w:val="006D48FD"/>
    <w:rsid w:val="006D68D7"/>
    <w:rsid w:val="006E6EC7"/>
    <w:rsid w:val="006F35AB"/>
    <w:rsid w:val="00702729"/>
    <w:rsid w:val="00704B03"/>
    <w:rsid w:val="00740F85"/>
    <w:rsid w:val="00745A07"/>
    <w:rsid w:val="00794E63"/>
    <w:rsid w:val="007A6F18"/>
    <w:rsid w:val="007C4E24"/>
    <w:rsid w:val="007C68EC"/>
    <w:rsid w:val="007C76F9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9F6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B51DF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73391"/>
    <w:rsid w:val="00A807E5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7733"/>
    <w:rsid w:val="00AE7A21"/>
    <w:rsid w:val="00AF0D6F"/>
    <w:rsid w:val="00AF0FC0"/>
    <w:rsid w:val="00AF2B6B"/>
    <w:rsid w:val="00AF7F4D"/>
    <w:rsid w:val="00B040B9"/>
    <w:rsid w:val="00B22FDE"/>
    <w:rsid w:val="00B24906"/>
    <w:rsid w:val="00B34350"/>
    <w:rsid w:val="00B37A38"/>
    <w:rsid w:val="00B45622"/>
    <w:rsid w:val="00B5765E"/>
    <w:rsid w:val="00B60C09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1C63"/>
    <w:rsid w:val="00BC6323"/>
    <w:rsid w:val="00BD1B08"/>
    <w:rsid w:val="00BE749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51282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3AA"/>
    <w:rsid w:val="00D26EF2"/>
    <w:rsid w:val="00D273EF"/>
    <w:rsid w:val="00D4577B"/>
    <w:rsid w:val="00D520BA"/>
    <w:rsid w:val="00D54987"/>
    <w:rsid w:val="00D6111E"/>
    <w:rsid w:val="00D703AE"/>
    <w:rsid w:val="00D7096F"/>
    <w:rsid w:val="00D8001D"/>
    <w:rsid w:val="00D874CD"/>
    <w:rsid w:val="00D91C6C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F05DE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93AC5"/>
    <w:rsid w:val="00EA7067"/>
    <w:rsid w:val="00EB0C7E"/>
    <w:rsid w:val="00EC00C9"/>
    <w:rsid w:val="00EC0C2D"/>
    <w:rsid w:val="00EC41D8"/>
    <w:rsid w:val="00ED0351"/>
    <w:rsid w:val="00ED40F5"/>
    <w:rsid w:val="00ED4EA8"/>
    <w:rsid w:val="00ED67BA"/>
    <w:rsid w:val="00EE25AF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47555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577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Angelita Kithatu</cp:lastModifiedBy>
  <cp:revision>3</cp:revision>
  <cp:lastPrinted>2010-06-21T14:06:00Z</cp:lastPrinted>
  <dcterms:created xsi:type="dcterms:W3CDTF">2021-03-15T14:30:00Z</dcterms:created>
  <dcterms:modified xsi:type="dcterms:W3CDTF">2021-03-15T18:13:00Z</dcterms:modified>
</cp:coreProperties>
</file>